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FC7" w:rsidRDefault="001D1FC7">
      <w:pPr>
        <w:pStyle w:val="ConsPlusNormal"/>
        <w:jc w:val="right"/>
        <w:outlineLvl w:val="0"/>
      </w:pPr>
      <w:r>
        <w:t>Приложение 17.1</w:t>
      </w:r>
    </w:p>
    <w:p w:rsidR="001D1FC7" w:rsidRDefault="001D1FC7">
      <w:pPr>
        <w:pStyle w:val="ConsPlusNormal"/>
        <w:jc w:val="right"/>
      </w:pPr>
      <w:r>
        <w:t>к приложению 17</w:t>
      </w:r>
    </w:p>
    <w:p w:rsidR="001D1FC7" w:rsidRDefault="001D1FC7">
      <w:pPr>
        <w:pStyle w:val="ConsPlusNormal"/>
        <w:jc w:val="right"/>
      </w:pPr>
      <w:r>
        <w:t>к Порядку...</w:t>
      </w:r>
    </w:p>
    <w:p w:rsidR="001D1FC7" w:rsidRDefault="001D1FC7">
      <w:pPr>
        <w:pStyle w:val="ConsPlusNormal"/>
        <w:jc w:val="right"/>
      </w:pPr>
    </w:p>
    <w:p w:rsidR="001D1FC7" w:rsidRDefault="001D1FC7">
      <w:pPr>
        <w:pStyle w:val="ConsPlusTitle"/>
        <w:jc w:val="center"/>
      </w:pPr>
      <w:r>
        <w:t>ГРАНТ "ЛЕНИНГРАДСКИЙ ФЕРМЕР"</w:t>
      </w:r>
    </w:p>
    <w:p w:rsidR="001D1FC7" w:rsidRDefault="001D1F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1F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1FC7" w:rsidRDefault="001D1F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1FC7" w:rsidRDefault="001D1F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1FC7" w:rsidRDefault="001D1FC7">
            <w:pPr>
              <w:pStyle w:val="ConsPlusNormal"/>
              <w:jc w:val="center"/>
            </w:pPr>
            <w:r>
              <w:rPr>
                <w:color w:val="392C69"/>
              </w:rPr>
              <w:t>Список изменяющих документов</w:t>
            </w:r>
          </w:p>
          <w:p w:rsidR="001D1FC7" w:rsidRDefault="001D1FC7">
            <w:pPr>
              <w:pStyle w:val="ConsPlusNormal"/>
              <w:jc w:val="center"/>
            </w:pPr>
            <w:proofErr w:type="gramStart"/>
            <w:r>
              <w:rPr>
                <w:color w:val="392C69"/>
              </w:rPr>
              <w:t>(в ред. Постановлений Правительства Ленинградской области</w:t>
            </w:r>
            <w:proofErr w:type="gramEnd"/>
          </w:p>
          <w:p w:rsidR="001D1FC7" w:rsidRDefault="001D1FC7">
            <w:pPr>
              <w:pStyle w:val="ConsPlusNormal"/>
              <w:jc w:val="center"/>
            </w:pPr>
            <w:r>
              <w:rPr>
                <w:color w:val="392C69"/>
              </w:rPr>
              <w:t xml:space="preserve">от 31.03.2025 </w:t>
            </w:r>
            <w:hyperlink r:id="rId5">
              <w:r>
                <w:rPr>
                  <w:color w:val="0000FF"/>
                </w:rPr>
                <w:t>N 297</w:t>
              </w:r>
            </w:hyperlink>
            <w:r>
              <w:rPr>
                <w:color w:val="392C69"/>
              </w:rPr>
              <w:t xml:space="preserve">, от 27.05.2025 </w:t>
            </w:r>
            <w:hyperlink r:id="rId6">
              <w:r>
                <w:rPr>
                  <w:color w:val="0000FF"/>
                </w:rPr>
                <w:t>N 470</w:t>
              </w:r>
            </w:hyperlink>
            <w:r>
              <w:rPr>
                <w:color w:val="392C69"/>
              </w:rPr>
              <w:t xml:space="preserve">, от 07.07.2025 </w:t>
            </w:r>
            <w:hyperlink r:id="rId7">
              <w:r>
                <w:rPr>
                  <w:color w:val="0000FF"/>
                </w:rPr>
                <w:t>N 596</w:t>
              </w:r>
            </w:hyperlink>
            <w:r>
              <w:rPr>
                <w:color w:val="392C69"/>
              </w:rPr>
              <w:t>,</w:t>
            </w:r>
          </w:p>
          <w:p w:rsidR="001D1FC7" w:rsidRDefault="001D1FC7">
            <w:pPr>
              <w:pStyle w:val="ConsPlusNormal"/>
              <w:jc w:val="center"/>
            </w:pPr>
            <w:r>
              <w:rPr>
                <w:color w:val="392C69"/>
              </w:rPr>
              <w:t xml:space="preserve">от 29.08.2025 </w:t>
            </w:r>
            <w:hyperlink r:id="rId8">
              <w:r>
                <w:rPr>
                  <w:color w:val="0000FF"/>
                </w:rPr>
                <w:t>N 753</w:t>
              </w:r>
            </w:hyperlink>
            <w:r>
              <w:rPr>
                <w:color w:val="392C69"/>
              </w:rPr>
              <w:t xml:space="preserve">, от 16.03.2026 </w:t>
            </w:r>
            <w:hyperlink r:id="rId9">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1FC7" w:rsidRDefault="001D1FC7">
            <w:pPr>
              <w:pStyle w:val="ConsPlusNormal"/>
            </w:pPr>
          </w:p>
        </w:tc>
      </w:tr>
    </w:tbl>
    <w:p w:rsidR="001D1FC7" w:rsidRDefault="001D1FC7">
      <w:pPr>
        <w:pStyle w:val="ConsPlusNormal"/>
        <w:ind w:firstLine="540"/>
        <w:jc w:val="both"/>
      </w:pPr>
    </w:p>
    <w:p w:rsidR="001D1FC7" w:rsidRDefault="001D1FC7">
      <w:pPr>
        <w:pStyle w:val="ConsPlusNormal"/>
        <w:ind w:firstLine="540"/>
        <w:jc w:val="both"/>
      </w:pPr>
      <w:r>
        <w:t xml:space="preserve">1. Грант "Ленинградский фермер" (далее - грант) предоставляется однократно категориям получателей гранта, указанным в </w:t>
      </w:r>
      <w:hyperlink r:id="rId10">
        <w:r>
          <w:rPr>
            <w:color w:val="0000FF"/>
          </w:rPr>
          <w:t>подпункте "б" пункта 1.6</w:t>
        </w:r>
      </w:hyperlink>
      <w:r>
        <w:t xml:space="preserve"> настоящего Порядка, зарегистрированным на сельской территории или на территории сельской агломерации Ленинградской области. </w:t>
      </w:r>
      <w:proofErr w:type="gramStart"/>
      <w:r>
        <w:t xml:space="preserve">Перечень сельских агломераций, а также сельских населенных пунктов и рабочих поселков, входящих в состав сельских территорий, утвержден </w:t>
      </w:r>
      <w:hyperlink r:id="rId11">
        <w:r>
          <w:rPr>
            <w:color w:val="0000FF"/>
          </w:rPr>
          <w:t>постановлением</w:t>
        </w:r>
      </w:hyperlink>
      <w:r>
        <w:t xml:space="preserve"> Правительства Ленинградской области от 28 февраля 2023 года N 124 "Об утверждении перечней опорных населенных пунктов, населенных пунктов, расположенных на прилегающих территориях, сельских агломераций и сельских территорий Ленинградской области и о внесении изменения в постановление Правительства Ленинградской области от 27 декабря 2019</w:t>
      </w:r>
      <w:proofErr w:type="gramEnd"/>
      <w:r>
        <w:t xml:space="preserve"> года N 636 "О государственной программе Ленинградской области "Комплексное развитие сельских территорий Ленинградской области".</w:t>
      </w:r>
    </w:p>
    <w:p w:rsidR="001D1FC7" w:rsidRDefault="001D1FC7">
      <w:pPr>
        <w:pStyle w:val="ConsPlusNormal"/>
        <w:jc w:val="both"/>
      </w:pPr>
      <w:r>
        <w:t xml:space="preserve">(в ред. </w:t>
      </w:r>
      <w:hyperlink r:id="rId12">
        <w:r>
          <w:rPr>
            <w:color w:val="0000FF"/>
          </w:rPr>
          <w:t>Постановления</w:t>
        </w:r>
      </w:hyperlink>
      <w:r>
        <w:t xml:space="preserve"> Правительства Ленинградской области от 31.03.2025 N 297)</w:t>
      </w:r>
    </w:p>
    <w:p w:rsidR="001D1FC7" w:rsidRDefault="001D1FC7">
      <w:pPr>
        <w:pStyle w:val="ConsPlusNormal"/>
        <w:spacing w:before="220"/>
        <w:ind w:firstLine="540"/>
        <w:jc w:val="both"/>
      </w:pPr>
      <w:r>
        <w:t>Способом проведения отбора получателей гранта является конкурс.</w:t>
      </w:r>
    </w:p>
    <w:p w:rsidR="001D1FC7" w:rsidRDefault="001D1FC7">
      <w:pPr>
        <w:pStyle w:val="ConsPlusNormal"/>
        <w:jc w:val="both"/>
      </w:pPr>
      <w:r>
        <w:t xml:space="preserve">(в ред. </w:t>
      </w:r>
      <w:hyperlink r:id="rId13">
        <w:r>
          <w:rPr>
            <w:color w:val="0000FF"/>
          </w:rPr>
          <w:t>Постановления</w:t>
        </w:r>
      </w:hyperlink>
      <w:r>
        <w:t xml:space="preserve"> Правительства Ленинградской области от 31.03.2025 N 297)</w:t>
      </w:r>
    </w:p>
    <w:p w:rsidR="001D1FC7" w:rsidRDefault="001D1FC7">
      <w:pPr>
        <w:pStyle w:val="ConsPlusNormal"/>
        <w:spacing w:before="220"/>
        <w:ind w:firstLine="540"/>
        <w:jc w:val="both"/>
      </w:pPr>
      <w:r>
        <w:t xml:space="preserve">2. </w:t>
      </w:r>
      <w:proofErr w:type="gramStart"/>
      <w:r>
        <w:t>В настоящем приложении под проектом развития хозяйства понимается бизнес-план развития хозяйства, представленный на отбор получателей гранта, по форме, утвержденной приказом комитета, содержащий направления расходования средств гранта, а также плановые показатели деятельности, направленные на увеличение объема производства и реализации сельскохозяйственной продукции (по годам, в течение пяти лет), со сроком окупаемости не более пяти лет, обязательство по исполнению которых включается в соглашение</w:t>
      </w:r>
      <w:proofErr w:type="gramEnd"/>
      <w:r>
        <w:t xml:space="preserve"> о предоставлении гранта, </w:t>
      </w:r>
      <w:proofErr w:type="gramStart"/>
      <w:r>
        <w:t>заключаемое</w:t>
      </w:r>
      <w:proofErr w:type="gramEnd"/>
      <w:r>
        <w:t xml:space="preserve"> между получателем гранта и комитетом.</w:t>
      </w:r>
    </w:p>
    <w:p w:rsidR="001D1FC7" w:rsidRDefault="001D1FC7">
      <w:pPr>
        <w:pStyle w:val="ConsPlusNormal"/>
        <w:jc w:val="both"/>
      </w:pPr>
      <w:r>
        <w:t xml:space="preserve">(в ред. Постановлений Правительства Ленинградской области от 31.03.2025 </w:t>
      </w:r>
      <w:hyperlink r:id="rId14">
        <w:r>
          <w:rPr>
            <w:color w:val="0000FF"/>
          </w:rPr>
          <w:t>N 297</w:t>
        </w:r>
      </w:hyperlink>
      <w:r>
        <w:t xml:space="preserve">, от 27.05.2025 </w:t>
      </w:r>
      <w:hyperlink r:id="rId15">
        <w:r>
          <w:rPr>
            <w:color w:val="0000FF"/>
          </w:rPr>
          <w:t>N 470</w:t>
        </w:r>
      </w:hyperlink>
      <w:r>
        <w:t xml:space="preserve">, от 16.03.2026 </w:t>
      </w:r>
      <w:hyperlink r:id="rId16">
        <w:r>
          <w:rPr>
            <w:color w:val="0000FF"/>
          </w:rPr>
          <w:t>N 207</w:t>
        </w:r>
      </w:hyperlink>
      <w:r>
        <w:t>)</w:t>
      </w:r>
    </w:p>
    <w:p w:rsidR="001D1FC7" w:rsidRDefault="001D1FC7">
      <w:pPr>
        <w:pStyle w:val="ConsPlusNormal"/>
        <w:spacing w:before="220"/>
        <w:ind w:firstLine="540"/>
        <w:jc w:val="both"/>
      </w:pPr>
      <w:r>
        <w:t>3. Характеристика результата - реализован проект развития хозяйства с помощью гранта "Ленинградский фермер" (единиц).</w:t>
      </w:r>
    </w:p>
    <w:p w:rsidR="001D1FC7" w:rsidRDefault="001D1FC7">
      <w:pPr>
        <w:pStyle w:val="ConsPlusNormal"/>
        <w:jc w:val="both"/>
      </w:pPr>
      <w:r>
        <w:t>(</w:t>
      </w:r>
      <w:proofErr w:type="gramStart"/>
      <w:r>
        <w:t>п</w:t>
      </w:r>
      <w:proofErr w:type="gramEnd"/>
      <w:r>
        <w:t xml:space="preserve">. 3 в ред. </w:t>
      </w:r>
      <w:hyperlink r:id="rId17">
        <w:r>
          <w:rPr>
            <w:color w:val="0000FF"/>
          </w:rPr>
          <w:t>Постановления</w:t>
        </w:r>
      </w:hyperlink>
      <w:r>
        <w:t xml:space="preserve"> Правительства Ленинградской области от 16.03.2026 N 207)</w:t>
      </w:r>
    </w:p>
    <w:p w:rsidR="001D1FC7" w:rsidRDefault="001D1FC7">
      <w:pPr>
        <w:pStyle w:val="ConsPlusNormal"/>
        <w:spacing w:before="220"/>
        <w:ind w:firstLine="540"/>
        <w:jc w:val="both"/>
      </w:pPr>
      <w:r>
        <w:t>4. Размер гранта, предоставляемого конкретному участнику отбора, определяется решением комиссии и составляет:</w:t>
      </w:r>
    </w:p>
    <w:p w:rsidR="001D1FC7" w:rsidRDefault="001D1FC7">
      <w:pPr>
        <w:pStyle w:val="ConsPlusNormal"/>
        <w:spacing w:before="220"/>
        <w:ind w:firstLine="540"/>
        <w:jc w:val="both"/>
      </w:pPr>
      <w:r>
        <w:t xml:space="preserve">до 8 </w:t>
      </w:r>
      <w:proofErr w:type="gramStart"/>
      <w:r>
        <w:t>млн</w:t>
      </w:r>
      <w:proofErr w:type="gramEnd"/>
      <w:r>
        <w:t xml:space="preserve"> рублей (включительно), но не более 90 процентов затрат, связанных с разведением крупного рогатого скота мясного или молочного направления продуктивности, выращиванием картофеля и овощей открытого грунта;</w:t>
      </w:r>
    </w:p>
    <w:p w:rsidR="001D1FC7" w:rsidRDefault="001D1FC7">
      <w:pPr>
        <w:pStyle w:val="ConsPlusNormal"/>
        <w:spacing w:before="220"/>
        <w:ind w:firstLine="540"/>
        <w:jc w:val="both"/>
      </w:pPr>
      <w:r>
        <w:t xml:space="preserve">до 6 </w:t>
      </w:r>
      <w:proofErr w:type="gramStart"/>
      <w:r>
        <w:t>млн</w:t>
      </w:r>
      <w:proofErr w:type="gramEnd"/>
      <w:r>
        <w:t xml:space="preserve"> рублей (включительно), но не более 90 процентов затрат, связанных с иными видами деятельности.</w:t>
      </w:r>
    </w:p>
    <w:p w:rsidR="001D1FC7" w:rsidRDefault="001D1FC7">
      <w:pPr>
        <w:pStyle w:val="ConsPlusNormal"/>
        <w:spacing w:before="220"/>
        <w:ind w:firstLine="540"/>
        <w:jc w:val="both"/>
      </w:pPr>
      <w:r>
        <w:t>Срок использования гранта составляет не более 12 месяцев со дня его поступления на счет получателя гранта.</w:t>
      </w:r>
    </w:p>
    <w:p w:rsidR="001D1FC7" w:rsidRDefault="001D1FC7">
      <w:pPr>
        <w:pStyle w:val="ConsPlusNormal"/>
        <w:jc w:val="both"/>
      </w:pPr>
      <w:r>
        <w:t xml:space="preserve">(п. 4 в ред. </w:t>
      </w:r>
      <w:hyperlink r:id="rId18">
        <w:r>
          <w:rPr>
            <w:color w:val="0000FF"/>
          </w:rPr>
          <w:t>Постановления</w:t>
        </w:r>
      </w:hyperlink>
      <w:r>
        <w:t xml:space="preserve"> Правительства Ленинградской области от 16.03.2026 N 207)</w:t>
      </w:r>
    </w:p>
    <w:p w:rsidR="001D1FC7" w:rsidRDefault="001D1FC7">
      <w:pPr>
        <w:pStyle w:val="ConsPlusNormal"/>
        <w:spacing w:before="220"/>
        <w:ind w:firstLine="540"/>
        <w:jc w:val="both"/>
      </w:pPr>
      <w:r>
        <w:lastRenderedPageBreak/>
        <w:t>5. Средства гранта направляются:</w:t>
      </w:r>
    </w:p>
    <w:p w:rsidR="001D1FC7" w:rsidRDefault="001D1FC7">
      <w:pPr>
        <w:pStyle w:val="ConsPlusNormal"/>
        <w:spacing w:before="220"/>
        <w:ind w:firstLine="540"/>
        <w:jc w:val="both"/>
      </w:pPr>
      <w:r>
        <w:t>на приобретение сельскохозяйственных животных (за исключением свиней) и птицы;</w:t>
      </w:r>
    </w:p>
    <w:p w:rsidR="001D1FC7" w:rsidRDefault="001D1FC7">
      <w:pPr>
        <w:pStyle w:val="ConsPlusNormal"/>
        <w:spacing w:before="220"/>
        <w:ind w:firstLine="540"/>
        <w:jc w:val="both"/>
      </w:pPr>
      <w:r>
        <w:t>на приобретение рыбопосадочного материала;</w:t>
      </w:r>
    </w:p>
    <w:p w:rsidR="001D1FC7" w:rsidRDefault="001D1FC7">
      <w:pPr>
        <w:pStyle w:val="ConsPlusNormal"/>
        <w:spacing w:before="220"/>
        <w:ind w:firstLine="540"/>
        <w:jc w:val="both"/>
      </w:pPr>
      <w:r>
        <w:t>на приобретение новых 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перечень которых утверждается распоряжением комитета;</w:t>
      </w:r>
    </w:p>
    <w:p w:rsidR="001D1FC7" w:rsidRDefault="001D1FC7">
      <w:pPr>
        <w:pStyle w:val="ConsPlusNormal"/>
        <w:spacing w:before="220"/>
        <w:ind w:firstLine="540"/>
        <w:jc w:val="both"/>
      </w:pPr>
      <w:r>
        <w:t>на приобретение семян и посадочного материала.</w:t>
      </w:r>
    </w:p>
    <w:p w:rsidR="001D1FC7" w:rsidRDefault="001D1FC7">
      <w:pPr>
        <w:pStyle w:val="ConsPlusNormal"/>
        <w:spacing w:before="220"/>
        <w:ind w:firstLine="540"/>
        <w:jc w:val="both"/>
      </w:pPr>
      <w:r>
        <w:t>Финансовое обеспечение затрат, предусмотренных проектом развития хозяйства, за счет иных направлений государственной поддержки не допускается.</w:t>
      </w:r>
    </w:p>
    <w:p w:rsidR="001D1FC7" w:rsidRDefault="001D1FC7">
      <w:pPr>
        <w:pStyle w:val="ConsPlusNormal"/>
        <w:jc w:val="both"/>
      </w:pPr>
      <w:r>
        <w:t xml:space="preserve">(абзац введен </w:t>
      </w:r>
      <w:hyperlink r:id="rId19">
        <w:r>
          <w:rPr>
            <w:color w:val="0000FF"/>
          </w:rPr>
          <w:t>Постановлением</w:t>
        </w:r>
      </w:hyperlink>
      <w:r>
        <w:t xml:space="preserve"> Правительства Ленинградской области от 16.03.2026 N 207)</w:t>
      </w:r>
    </w:p>
    <w:p w:rsidR="001D1FC7" w:rsidRDefault="001D1FC7">
      <w:pPr>
        <w:pStyle w:val="ConsPlusNormal"/>
        <w:spacing w:before="220"/>
        <w:ind w:firstLine="540"/>
        <w:jc w:val="both"/>
      </w:pPr>
      <w:r>
        <w:t>Не подлежит финансовому обеспечению приобретение имущества, ранее приобретенного с использованием средств государственной поддержки.</w:t>
      </w:r>
    </w:p>
    <w:p w:rsidR="001D1FC7" w:rsidRDefault="001D1FC7">
      <w:pPr>
        <w:pStyle w:val="ConsPlusNormal"/>
        <w:jc w:val="both"/>
      </w:pPr>
      <w:r>
        <w:t xml:space="preserve">(абзац введен </w:t>
      </w:r>
      <w:hyperlink r:id="rId20">
        <w:r>
          <w:rPr>
            <w:color w:val="0000FF"/>
          </w:rPr>
          <w:t>Постановлением</w:t>
        </w:r>
      </w:hyperlink>
      <w:r>
        <w:t xml:space="preserve"> Правительства Ленинградской области от 16.03.2026 N 207)</w:t>
      </w:r>
    </w:p>
    <w:p w:rsidR="001D1FC7" w:rsidRDefault="001D1FC7">
      <w:pPr>
        <w:pStyle w:val="ConsPlusNormal"/>
        <w:spacing w:before="220"/>
        <w:ind w:firstLine="540"/>
        <w:jc w:val="both"/>
      </w:pPr>
      <w:r>
        <w:t xml:space="preserve">6. Участник отбора в дополнение к требованиям, указанным в </w:t>
      </w:r>
      <w:hyperlink r:id="rId21">
        <w:r>
          <w:rPr>
            <w:color w:val="0000FF"/>
          </w:rPr>
          <w:t>пункте 2.3</w:t>
        </w:r>
      </w:hyperlink>
      <w:r>
        <w:t xml:space="preserve"> настоящего Порядка, должен соответствовать следующим требованиям:</w:t>
      </w:r>
    </w:p>
    <w:p w:rsidR="001D1FC7" w:rsidRDefault="001D1FC7">
      <w:pPr>
        <w:pStyle w:val="ConsPlusNormal"/>
        <w:spacing w:before="220"/>
        <w:ind w:firstLine="540"/>
        <w:jc w:val="both"/>
      </w:pPr>
      <w:r>
        <w:t>отсутствие грантов, полученных в рамках настоящего Порядка;</w:t>
      </w:r>
    </w:p>
    <w:p w:rsidR="001D1FC7" w:rsidRDefault="001D1FC7">
      <w:pPr>
        <w:pStyle w:val="ConsPlusNormal"/>
        <w:spacing w:before="220"/>
        <w:ind w:firstLine="540"/>
        <w:jc w:val="both"/>
      </w:pPr>
      <w:r>
        <w:t>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 развития хозяйства;</w:t>
      </w:r>
    </w:p>
    <w:p w:rsidR="001D1FC7" w:rsidRDefault="001D1FC7">
      <w:pPr>
        <w:pStyle w:val="ConsPlusNormal"/>
        <w:spacing w:before="220"/>
        <w:ind w:firstLine="540"/>
        <w:jc w:val="both"/>
      </w:pPr>
      <w:r>
        <w:t xml:space="preserve">наличие права собственности </w:t>
      </w:r>
      <w:proofErr w:type="gramStart"/>
      <w:r>
        <w:t>и(</w:t>
      </w:r>
      <w:proofErr w:type="gramEnd"/>
      <w:r>
        <w:t>или) иных прав на срок не менее пяти лет (с года начала реализации проекта развития хозяйства) на земельный участок (земельные участки), на котором осуществляется и(или) планируется осуществлять сельскохозяйственное производство;</w:t>
      </w:r>
    </w:p>
    <w:p w:rsidR="001D1FC7" w:rsidRDefault="001D1FC7">
      <w:pPr>
        <w:pStyle w:val="ConsPlusNormal"/>
        <w:spacing w:before="220"/>
        <w:ind w:firstLine="540"/>
        <w:jc w:val="both"/>
      </w:pPr>
      <w:proofErr w:type="gramStart"/>
      <w:r>
        <w:t>наличие проекта развития хозяйства, предусматривающего ежегодный прирост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roofErr w:type="gramEnd"/>
    </w:p>
    <w:p w:rsidR="001D1FC7" w:rsidRDefault="001D1FC7">
      <w:pPr>
        <w:pStyle w:val="ConsPlusNormal"/>
        <w:spacing w:before="220"/>
        <w:ind w:firstLine="540"/>
        <w:jc w:val="both"/>
      </w:pPr>
      <w:r>
        <w:t>наличие плана расходов с указанием наименований приобретаемого имущества, их количества, цены, источников финансирования (грант, собственные (привлеченные) средства);</w:t>
      </w:r>
    </w:p>
    <w:p w:rsidR="001D1FC7" w:rsidRDefault="001D1FC7">
      <w:pPr>
        <w:pStyle w:val="ConsPlusNormal"/>
        <w:spacing w:before="220"/>
        <w:ind w:firstLine="540"/>
        <w:jc w:val="both"/>
      </w:pPr>
      <w:r>
        <w:t>обязательство:</w:t>
      </w:r>
    </w:p>
    <w:p w:rsidR="001D1FC7" w:rsidRDefault="001D1FC7">
      <w:pPr>
        <w:pStyle w:val="ConsPlusNormal"/>
        <w:spacing w:before="220"/>
        <w:ind w:firstLine="540"/>
        <w:jc w:val="both"/>
      </w:pPr>
      <w:r>
        <w:t>об оплате за счет собственных (привлеченных) средств, в размере не менее 10 процентов стоимости каждого наименования приобретаемого имущества, указанного в плане расходов в соответствии с проектом развития хозяйства;</w:t>
      </w:r>
    </w:p>
    <w:p w:rsidR="001D1FC7" w:rsidRDefault="001D1FC7">
      <w:pPr>
        <w:pStyle w:val="ConsPlusNormal"/>
        <w:spacing w:before="220"/>
        <w:ind w:firstLine="540"/>
        <w:jc w:val="both"/>
      </w:pPr>
      <w:r>
        <w:t xml:space="preserve">о трудоустройстве новых постоянных работников (не менее двух новых постоянных работников, если размер гранта составляет 6 </w:t>
      </w:r>
      <w:proofErr w:type="gramStart"/>
      <w:r>
        <w:t>млн</w:t>
      </w:r>
      <w:proofErr w:type="gramEnd"/>
      <w:r>
        <w:t xml:space="preserve"> рублей или более, и не менее одного нового постоянного работника, если размер гранта составляет менее 6 млн рублей, при этом глава крестьянского (фермерского) хозяйства и(или) индивидуальный предприниматель не учитываются в качестве новых постоянных работников) (с года начала реализации проекта развития хозяйства);</w:t>
      </w:r>
    </w:p>
    <w:p w:rsidR="001D1FC7" w:rsidRDefault="001D1FC7">
      <w:pPr>
        <w:pStyle w:val="ConsPlusNormal"/>
        <w:spacing w:before="220"/>
        <w:ind w:firstLine="540"/>
        <w:jc w:val="both"/>
      </w:pPr>
      <w:r>
        <w:t xml:space="preserve">о сохранении созданных новых рабочих мест в течение не менее пяти лет (с года </w:t>
      </w:r>
      <w:proofErr w:type="gramStart"/>
      <w:r>
        <w:t xml:space="preserve">начала </w:t>
      </w:r>
      <w:r>
        <w:lastRenderedPageBreak/>
        <w:t>реализации проекта развития хозяйства</w:t>
      </w:r>
      <w:proofErr w:type="gramEnd"/>
      <w:r>
        <w:t>);</w:t>
      </w:r>
    </w:p>
    <w:p w:rsidR="001D1FC7" w:rsidRDefault="001D1FC7">
      <w:pPr>
        <w:pStyle w:val="ConsPlusNormal"/>
        <w:spacing w:before="220"/>
        <w:ind w:firstLine="540"/>
        <w:jc w:val="both"/>
      </w:pPr>
      <w:proofErr w:type="gramStart"/>
      <w:r>
        <w:t>об использовании приобретенного с государственной поддержкой имущества исключительно в производственной деятельности получателя гранта,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пяти лет (с года начала реализации проекта развития хозяйства);</w:t>
      </w:r>
      <w:proofErr w:type="gramEnd"/>
    </w:p>
    <w:p w:rsidR="001D1FC7" w:rsidRDefault="001D1FC7">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rsidR="001D1FC7" w:rsidRDefault="001D1FC7">
      <w:pPr>
        <w:pStyle w:val="ConsPlusNormal"/>
        <w:spacing w:before="220"/>
        <w:ind w:firstLine="540"/>
        <w:jc w:val="both"/>
      </w:pPr>
      <w:proofErr w:type="gramStart"/>
      <w:r>
        <w:t>об обеспечении ежегодного прироста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объемах, представленных в заявке на участие в отборе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w:t>
      </w:r>
      <w:proofErr w:type="gramEnd"/>
      <w:r>
        <w:t xml:space="preserve"> годом предоставления гранта);</w:t>
      </w:r>
    </w:p>
    <w:p w:rsidR="001D1FC7" w:rsidRDefault="001D1FC7">
      <w:pPr>
        <w:pStyle w:val="ConsPlusNormal"/>
        <w:spacing w:before="220"/>
        <w:ind w:firstLine="540"/>
        <w:jc w:val="both"/>
      </w:pPr>
      <w:r>
        <w:t>об обеспечении достижения плановых показателей деятельности в соответствии с проектом развития хозяйства, установленных соглашением;</w:t>
      </w:r>
    </w:p>
    <w:p w:rsidR="001D1FC7" w:rsidRDefault="001D1FC7">
      <w:pPr>
        <w:pStyle w:val="ConsPlusNormal"/>
        <w:spacing w:before="220"/>
        <w:ind w:firstLine="540"/>
        <w:jc w:val="both"/>
      </w:pPr>
      <w:proofErr w:type="gramStart"/>
      <w:r>
        <w:t>о направлении в комитет письменного обоснования недостижения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недостижении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roofErr w:type="gramEnd"/>
    </w:p>
    <w:p w:rsidR="001D1FC7" w:rsidRDefault="001D1FC7">
      <w:pPr>
        <w:pStyle w:val="ConsPlusNormal"/>
        <w:jc w:val="both"/>
      </w:pPr>
      <w:r>
        <w:t xml:space="preserve">(п. 6 в ред. </w:t>
      </w:r>
      <w:hyperlink r:id="rId22">
        <w:r>
          <w:rPr>
            <w:color w:val="0000FF"/>
          </w:rPr>
          <w:t>Постановления</w:t>
        </w:r>
      </w:hyperlink>
      <w:r>
        <w:t xml:space="preserve"> Правительства Ленинградской области от 16.03.2026 N 207)</w:t>
      </w:r>
    </w:p>
    <w:p w:rsidR="001D1FC7" w:rsidRDefault="001D1FC7">
      <w:pPr>
        <w:pStyle w:val="ConsPlusNormal"/>
        <w:spacing w:before="220"/>
        <w:ind w:firstLine="540"/>
        <w:jc w:val="both"/>
      </w:pPr>
      <w:r>
        <w:t xml:space="preserve">7. Участниками отбора в дополнение к документам, указанным в </w:t>
      </w:r>
      <w:hyperlink r:id="rId23">
        <w:r>
          <w:rPr>
            <w:color w:val="0000FF"/>
          </w:rPr>
          <w:t>пункте 2.4</w:t>
        </w:r>
      </w:hyperlink>
      <w:r>
        <w:t xml:space="preserve"> настоящего Порядка, представляются следующие документы:</w:t>
      </w:r>
    </w:p>
    <w:p w:rsidR="001D1FC7" w:rsidRDefault="001D1FC7">
      <w:pPr>
        <w:pStyle w:val="ConsPlusNormal"/>
        <w:spacing w:before="220"/>
        <w:ind w:firstLine="540"/>
        <w:jc w:val="both"/>
      </w:pPr>
      <w:r>
        <w:t>заявление о предоставлении гранта по форме, утвержденной приказом комитета;</w:t>
      </w:r>
    </w:p>
    <w:p w:rsidR="001D1FC7" w:rsidRDefault="001D1FC7">
      <w:pPr>
        <w:pStyle w:val="ConsPlusNormal"/>
        <w:spacing w:before="220"/>
        <w:ind w:firstLine="540"/>
        <w:jc w:val="both"/>
      </w:pPr>
      <w:r>
        <w:t>документ, удостоверяющий личность (для физических лиц и индивидуальных предпринимателей, зарегистрированных в качестве главы крестьянского (фермерского) хозяйства без образования юридического лица);</w:t>
      </w:r>
    </w:p>
    <w:p w:rsidR="001D1FC7" w:rsidRDefault="001D1FC7">
      <w:pPr>
        <w:pStyle w:val="ConsPlusNormal"/>
        <w:spacing w:before="220"/>
        <w:ind w:firstLine="540"/>
        <w:jc w:val="both"/>
      </w:pPr>
      <w:r>
        <w:t>проект развития хозяйства по форме, утвержденной приказом комитета, с приложением коммерческих предложений (на дату не более 30 календарных дней до даты представления заявки в комитет), подтверждающих планируемые расходы;</w:t>
      </w:r>
    </w:p>
    <w:p w:rsidR="001D1FC7" w:rsidRDefault="001D1FC7">
      <w:pPr>
        <w:pStyle w:val="ConsPlusNormal"/>
        <w:spacing w:before="220"/>
        <w:ind w:firstLine="540"/>
        <w:jc w:val="both"/>
      </w:pPr>
      <w:r>
        <w:t>план расходов гранта по форме, утвержденной приказом комитета;</w:t>
      </w:r>
    </w:p>
    <w:p w:rsidR="001D1FC7" w:rsidRDefault="001D1FC7">
      <w:pPr>
        <w:pStyle w:val="ConsPlusNormal"/>
        <w:spacing w:before="220"/>
        <w:ind w:firstLine="540"/>
        <w:jc w:val="both"/>
      </w:pPr>
      <w:bookmarkStart w:id="0" w:name="P53"/>
      <w:bookmarkEnd w:id="0"/>
      <w:r>
        <w:t>сведения о земельных участках сельскохозяйственного назначения по форме, утвержденной приказом комитета;</w:t>
      </w:r>
    </w:p>
    <w:p w:rsidR="001D1FC7" w:rsidRDefault="001D1FC7">
      <w:pPr>
        <w:pStyle w:val="ConsPlusNormal"/>
        <w:spacing w:before="220"/>
        <w:ind w:firstLine="540"/>
        <w:jc w:val="both"/>
      </w:pPr>
      <w:r>
        <w:t>документ, подтверждающий право собственности на сельскохозяйственную технику (при наличии);</w:t>
      </w:r>
    </w:p>
    <w:p w:rsidR="001D1FC7" w:rsidRDefault="001D1FC7">
      <w:pPr>
        <w:pStyle w:val="ConsPlusNormal"/>
        <w:spacing w:before="220"/>
        <w:ind w:firstLine="540"/>
        <w:jc w:val="both"/>
      </w:pPr>
      <w:r>
        <w:t xml:space="preserve">документ о среднем профессиональном образовании или высшем образовании в области сельского хозяйства, или документ о повышении квалификации или профессиональной переподготовке в рамках программы дополнительного профессионального образования, или </w:t>
      </w:r>
      <w:r>
        <w:lastRenderedPageBreak/>
        <w:t xml:space="preserve">выписка из похозяйственной книги, подтверждающая ведение производственной деятельности, либо трудовая книжка участника отбора </w:t>
      </w:r>
      <w:proofErr w:type="gramStart"/>
      <w:r>
        <w:t>и(</w:t>
      </w:r>
      <w:proofErr w:type="gramEnd"/>
      <w:r>
        <w:t xml:space="preserve">или) сведения о трудовой деятельности, предусмотренные Трудовым </w:t>
      </w:r>
      <w:hyperlink r:id="rId24">
        <w:r>
          <w:rPr>
            <w:color w:val="0000FF"/>
          </w:rPr>
          <w:t>кодексом</w:t>
        </w:r>
      </w:hyperlink>
      <w:r>
        <w:t xml:space="preserve"> Российской Федерации (при наличии).</w:t>
      </w:r>
    </w:p>
    <w:p w:rsidR="001D1FC7" w:rsidRDefault="001D1FC7">
      <w:pPr>
        <w:pStyle w:val="ConsPlusNormal"/>
        <w:jc w:val="both"/>
      </w:pPr>
      <w:r>
        <w:t xml:space="preserve">(п. 7 в ред. </w:t>
      </w:r>
      <w:hyperlink r:id="rId25">
        <w:r>
          <w:rPr>
            <w:color w:val="0000FF"/>
          </w:rPr>
          <w:t>Постановления</w:t>
        </w:r>
      </w:hyperlink>
      <w:r>
        <w:t xml:space="preserve"> Правительства Ленинградской области от 16.03.2026 N 207)</w:t>
      </w:r>
    </w:p>
    <w:p w:rsidR="001D1FC7" w:rsidRDefault="001D1FC7">
      <w:pPr>
        <w:pStyle w:val="ConsPlusNormal"/>
        <w:spacing w:before="220"/>
        <w:ind w:firstLine="540"/>
        <w:jc w:val="both"/>
      </w:pPr>
      <w:r>
        <w:t xml:space="preserve">8. Комитет в рамках межведомственного информационного взаимодействия запрашивает выписку из Единого государственного реестра недвижимости в отношении земельного участка (земельных участков), сведения о котором (которых) представлены участником отбора согласно </w:t>
      </w:r>
      <w:hyperlink w:anchor="P53">
        <w:r>
          <w:rPr>
            <w:color w:val="0000FF"/>
          </w:rPr>
          <w:t>абзацу шестому пункта 7</w:t>
        </w:r>
      </w:hyperlink>
      <w:r>
        <w:t xml:space="preserve"> настоящего приложения. Участник отбора вправе представить документы, содержащие сведения, указанные в настоящем пункте, по собственной инициативе.</w:t>
      </w:r>
    </w:p>
    <w:p w:rsidR="001D1FC7" w:rsidRDefault="001D1FC7">
      <w:pPr>
        <w:pStyle w:val="ConsPlusNormal"/>
        <w:jc w:val="both"/>
      </w:pPr>
      <w:r>
        <w:t>(</w:t>
      </w:r>
      <w:proofErr w:type="gramStart"/>
      <w:r>
        <w:t>в</w:t>
      </w:r>
      <w:proofErr w:type="gramEnd"/>
      <w:r>
        <w:t xml:space="preserve"> ред. </w:t>
      </w:r>
      <w:hyperlink r:id="rId26">
        <w:r>
          <w:rPr>
            <w:color w:val="0000FF"/>
          </w:rPr>
          <w:t>Постановления</w:t>
        </w:r>
      </w:hyperlink>
      <w:r>
        <w:t xml:space="preserve"> Правительства Ленинградской области от 16.03.2026 N 207)</w:t>
      </w:r>
    </w:p>
    <w:p w:rsidR="001D1FC7" w:rsidRDefault="001D1FC7">
      <w:pPr>
        <w:pStyle w:val="ConsPlusNormal"/>
        <w:spacing w:before="220"/>
        <w:ind w:firstLine="540"/>
        <w:jc w:val="both"/>
      </w:pPr>
      <w:r>
        <w:t>9. Комиссия осуществляет отбор проектов развития хозяйства для предоставления гранта в форме очного собеседования.</w:t>
      </w:r>
    </w:p>
    <w:p w:rsidR="001D1FC7" w:rsidRDefault="001D1FC7">
      <w:pPr>
        <w:pStyle w:val="ConsPlusNormal"/>
        <w:jc w:val="both"/>
      </w:pPr>
      <w:r>
        <w:t>(</w:t>
      </w:r>
      <w:proofErr w:type="gramStart"/>
      <w:r>
        <w:t>в</w:t>
      </w:r>
      <w:proofErr w:type="gramEnd"/>
      <w:r>
        <w:t xml:space="preserve"> ред. </w:t>
      </w:r>
      <w:hyperlink r:id="rId27">
        <w:r>
          <w:rPr>
            <w:color w:val="0000FF"/>
          </w:rPr>
          <w:t>Постановления</w:t>
        </w:r>
      </w:hyperlink>
      <w:r>
        <w:t xml:space="preserve"> Правительства Ленинградской области от 16.03.2026 N 207)</w:t>
      </w:r>
    </w:p>
    <w:p w:rsidR="001D1FC7" w:rsidRDefault="001D1FC7">
      <w:pPr>
        <w:pStyle w:val="ConsPlusNormal"/>
        <w:spacing w:before="220"/>
        <w:ind w:firstLine="540"/>
        <w:jc w:val="both"/>
      </w:pPr>
      <w:r>
        <w:t>В собеседовании могут принимать участие с правом совещательного голоса представители муниципальных образований, на территории которых планируется реализация проектов участников отбора.</w:t>
      </w:r>
    </w:p>
    <w:p w:rsidR="001D1FC7" w:rsidRDefault="001D1FC7">
      <w:pPr>
        <w:pStyle w:val="ConsPlusNormal"/>
        <w:spacing w:before="220"/>
        <w:ind w:firstLine="540"/>
        <w:jc w:val="both"/>
      </w:pPr>
      <w:r>
        <w:t>В ходе отбора получателей гранта комиссия оценивает заявки в соответствии со следующими критериями оценки (далее - критерии):</w:t>
      </w:r>
    </w:p>
    <w:p w:rsidR="001D1FC7" w:rsidRDefault="001D1FC7">
      <w:pPr>
        <w:pStyle w:val="ConsPlusNormal"/>
        <w:jc w:val="both"/>
      </w:pPr>
      <w:r>
        <w:t xml:space="preserve">(в ред. </w:t>
      </w:r>
      <w:hyperlink r:id="rId28">
        <w:r>
          <w:rPr>
            <w:color w:val="0000FF"/>
          </w:rPr>
          <w:t>Постановления</w:t>
        </w:r>
      </w:hyperlink>
      <w:r>
        <w:t xml:space="preserve"> Правительства Ленинградской области от 27.05.2025 N 470)</w:t>
      </w:r>
    </w:p>
    <w:p w:rsidR="001D1FC7" w:rsidRDefault="001D1FC7">
      <w:pPr>
        <w:pStyle w:val="ConsPlusNormal"/>
        <w:spacing w:before="220"/>
        <w:ind w:firstLine="540"/>
        <w:jc w:val="both"/>
      </w:pPr>
      <w:r>
        <w:t xml:space="preserve">абзац утратил силу. - </w:t>
      </w:r>
      <w:hyperlink r:id="rId29">
        <w:r>
          <w:rPr>
            <w:color w:val="0000FF"/>
          </w:rPr>
          <w:t>Постановление</w:t>
        </w:r>
      </w:hyperlink>
      <w:r>
        <w:t xml:space="preserve"> Правительства Ленинградской области от 16.03.2026 N 207;</w:t>
      </w:r>
    </w:p>
    <w:p w:rsidR="001D1FC7" w:rsidRDefault="001D1FC7">
      <w:pPr>
        <w:pStyle w:val="ConsPlusNormal"/>
        <w:spacing w:before="220"/>
        <w:ind w:firstLine="540"/>
        <w:jc w:val="both"/>
      </w:pPr>
      <w:r>
        <w:t>прирост объема производимой сельскохозяйственной продукции в течение срока реализации проекта (в натуральном выражении);</w:t>
      </w:r>
    </w:p>
    <w:p w:rsidR="001D1FC7" w:rsidRDefault="001D1FC7">
      <w:pPr>
        <w:pStyle w:val="ConsPlusNormal"/>
        <w:spacing w:before="220"/>
        <w:ind w:firstLine="540"/>
        <w:jc w:val="both"/>
      </w:pPr>
      <w:r>
        <w:t>наличие сельскохозяйственной техники в собственности на дату подачи заявки;</w:t>
      </w:r>
    </w:p>
    <w:p w:rsidR="001D1FC7" w:rsidRDefault="001D1FC7">
      <w:pPr>
        <w:pStyle w:val="ConsPlusNormal"/>
        <w:spacing w:before="220"/>
        <w:ind w:firstLine="540"/>
        <w:jc w:val="both"/>
      </w:pPr>
      <w:r>
        <w:t>наличие земельного участка на праве собственности или договора аренды на земельный участок на срок не менее пяти лет, зарегистрированного в установленном порядке;</w:t>
      </w:r>
    </w:p>
    <w:p w:rsidR="001D1FC7" w:rsidRDefault="001D1FC7">
      <w:pPr>
        <w:pStyle w:val="ConsPlusNormal"/>
        <w:spacing w:before="220"/>
        <w:ind w:firstLine="540"/>
        <w:jc w:val="both"/>
      </w:pPr>
      <w:r>
        <w:t>направление ведения сельскохозяйственной деятельности в рамках представленного проекта;</w:t>
      </w:r>
    </w:p>
    <w:p w:rsidR="001D1FC7" w:rsidRDefault="001D1FC7">
      <w:pPr>
        <w:pStyle w:val="ConsPlusNormal"/>
        <w:spacing w:before="220"/>
        <w:ind w:firstLine="540"/>
        <w:jc w:val="both"/>
      </w:pPr>
      <w:r>
        <w:t>основные финансово-экономические показатели эффективности проекта, в том числе период его окупаемости;</w:t>
      </w:r>
    </w:p>
    <w:p w:rsidR="001D1FC7" w:rsidRDefault="001D1FC7">
      <w:pPr>
        <w:pStyle w:val="ConsPlusNormal"/>
        <w:spacing w:before="220"/>
        <w:ind w:firstLine="540"/>
        <w:jc w:val="both"/>
      </w:pPr>
      <w:r>
        <w:t>наличие поголовья сельскохозяйственных животных на дату подачи заявки по основному направлению деятельности (для хозяйств, занимающихся животноводством);</w:t>
      </w:r>
    </w:p>
    <w:p w:rsidR="001D1FC7" w:rsidRDefault="001D1FC7">
      <w:pPr>
        <w:pStyle w:val="ConsPlusNormal"/>
        <w:spacing w:before="220"/>
        <w:ind w:firstLine="540"/>
        <w:jc w:val="both"/>
      </w:pPr>
      <w:r>
        <w:t>общая посевная площадь на дату подачи заявки (для хозяйств, занимающихся растениеводством);</w:t>
      </w:r>
    </w:p>
    <w:p w:rsidR="001D1FC7" w:rsidRDefault="001D1FC7">
      <w:pPr>
        <w:pStyle w:val="ConsPlusNormal"/>
        <w:spacing w:before="220"/>
        <w:ind w:firstLine="540"/>
        <w:jc w:val="both"/>
      </w:pPr>
      <w:r>
        <w:t>наличие опыта ведения личного подсобного хозяйства, трудового стажа в сельском хозяйстве или сельскохозяйственного образования;</w:t>
      </w:r>
    </w:p>
    <w:p w:rsidR="001D1FC7" w:rsidRDefault="001D1FC7">
      <w:pPr>
        <w:pStyle w:val="ConsPlusNormal"/>
        <w:spacing w:before="220"/>
        <w:ind w:firstLine="540"/>
        <w:jc w:val="both"/>
      </w:pPr>
      <w:r>
        <w:t>качество ответов на вопросы по представленному на отбор проекту;</w:t>
      </w:r>
    </w:p>
    <w:p w:rsidR="001D1FC7" w:rsidRDefault="001D1FC7">
      <w:pPr>
        <w:pStyle w:val="ConsPlusNormal"/>
        <w:jc w:val="both"/>
      </w:pPr>
      <w:r>
        <w:t xml:space="preserve">(в ред. </w:t>
      </w:r>
      <w:hyperlink r:id="rId30">
        <w:r>
          <w:rPr>
            <w:color w:val="0000FF"/>
          </w:rPr>
          <w:t>Постановления</w:t>
        </w:r>
      </w:hyperlink>
      <w:r>
        <w:t xml:space="preserve"> Правительства Ленинградской области от 27.05.2025 N 470)</w:t>
      </w:r>
    </w:p>
    <w:p w:rsidR="001D1FC7" w:rsidRDefault="001D1FC7">
      <w:pPr>
        <w:pStyle w:val="ConsPlusNormal"/>
        <w:spacing w:before="220"/>
        <w:ind w:firstLine="540"/>
        <w:jc w:val="both"/>
      </w:pPr>
      <w:r>
        <w:t>время выступления;</w:t>
      </w:r>
    </w:p>
    <w:p w:rsidR="001D1FC7" w:rsidRDefault="001D1FC7">
      <w:pPr>
        <w:pStyle w:val="ConsPlusNormal"/>
        <w:spacing w:before="220"/>
        <w:ind w:firstLine="540"/>
        <w:jc w:val="both"/>
      </w:pPr>
      <w:r>
        <w:t>презентация проекта.</w:t>
      </w:r>
    </w:p>
    <w:p w:rsidR="001D1FC7" w:rsidRDefault="001D1FC7">
      <w:pPr>
        <w:pStyle w:val="ConsPlusNormal"/>
        <w:spacing w:before="220"/>
        <w:ind w:firstLine="540"/>
        <w:jc w:val="both"/>
      </w:pPr>
      <w:r>
        <w:lastRenderedPageBreak/>
        <w:t>Балльная оценка критериев утверждается приказом комитета.</w:t>
      </w:r>
    </w:p>
    <w:p w:rsidR="001D1FC7" w:rsidRDefault="001D1FC7">
      <w:pPr>
        <w:pStyle w:val="ConsPlusNormal"/>
        <w:spacing w:before="220"/>
        <w:ind w:firstLine="540"/>
        <w:jc w:val="both"/>
      </w:pPr>
      <w:r>
        <w:t>Решение комиссии принимается простым большинством голосов от числа присутствующих на заседании членов (50 процентов от числа присутствующих членов комиссии плюс один голос) при наличии кворума. При равенстве голосов голос председательствующего является решающим.</w:t>
      </w:r>
    </w:p>
    <w:p w:rsidR="001D1FC7" w:rsidRDefault="001D1FC7">
      <w:pPr>
        <w:pStyle w:val="ConsPlusNormal"/>
        <w:jc w:val="both"/>
      </w:pPr>
      <w:r>
        <w:t>(</w:t>
      </w:r>
      <w:proofErr w:type="gramStart"/>
      <w:r>
        <w:t>в</w:t>
      </w:r>
      <w:proofErr w:type="gramEnd"/>
      <w:r>
        <w:t xml:space="preserve"> ред. </w:t>
      </w:r>
      <w:hyperlink r:id="rId31">
        <w:r>
          <w:rPr>
            <w:color w:val="0000FF"/>
          </w:rPr>
          <w:t>Постановления</w:t>
        </w:r>
      </w:hyperlink>
      <w:r>
        <w:t xml:space="preserve"> Правительства Ленинградской области от 27.05.2025 N 470)</w:t>
      </w:r>
    </w:p>
    <w:p w:rsidR="001D1FC7" w:rsidRDefault="001D1FC7">
      <w:pPr>
        <w:pStyle w:val="ConsPlusNormal"/>
        <w:spacing w:before="220"/>
        <w:ind w:firstLine="540"/>
        <w:jc w:val="both"/>
      </w:pPr>
      <w:r>
        <w:t xml:space="preserve">Абзацы восемнадцатый - девятнадцатый утратили силу. - </w:t>
      </w:r>
      <w:hyperlink r:id="rId32">
        <w:r>
          <w:rPr>
            <w:color w:val="0000FF"/>
          </w:rPr>
          <w:t>Постановление</w:t>
        </w:r>
      </w:hyperlink>
      <w:r>
        <w:t xml:space="preserve"> Правительства Ленинградской области от 27.05.2025 N 470.</w:t>
      </w:r>
    </w:p>
    <w:p w:rsidR="001D1FC7" w:rsidRDefault="001D1FC7">
      <w:pPr>
        <w:pStyle w:val="ConsPlusNormal"/>
        <w:spacing w:before="220"/>
        <w:ind w:firstLine="540"/>
        <w:jc w:val="both"/>
      </w:pPr>
      <w:r>
        <w:t xml:space="preserve">Победителями отбора признаются участники отбора, чьи заявки набрали наибольшее количество баллов с учетом результатов голосования комиссии. </w:t>
      </w:r>
      <w:proofErr w:type="gramStart"/>
      <w:r>
        <w:t>Количество победителей отбора определяется в соответствии с выделенным на текущий финансовой год объемом бюджетных ассигнований и фактической стоимостью проектов.</w:t>
      </w:r>
      <w:proofErr w:type="gramEnd"/>
    </w:p>
    <w:p w:rsidR="001D1FC7" w:rsidRDefault="001D1FC7">
      <w:pPr>
        <w:pStyle w:val="ConsPlusNormal"/>
        <w:jc w:val="both"/>
      </w:pPr>
      <w:r>
        <w:t>(</w:t>
      </w:r>
      <w:proofErr w:type="gramStart"/>
      <w:r>
        <w:t>в</w:t>
      </w:r>
      <w:proofErr w:type="gramEnd"/>
      <w:r>
        <w:t xml:space="preserve"> ред. </w:t>
      </w:r>
      <w:hyperlink r:id="rId33">
        <w:r>
          <w:rPr>
            <w:color w:val="0000FF"/>
          </w:rPr>
          <w:t>Постановления</w:t>
        </w:r>
      </w:hyperlink>
      <w:r>
        <w:t xml:space="preserve"> Правительства Ленинградской области от 27.05.2025 N 470)</w:t>
      </w:r>
    </w:p>
    <w:p w:rsidR="001D1FC7" w:rsidRDefault="001D1FC7">
      <w:pPr>
        <w:pStyle w:val="ConsPlusNormal"/>
        <w:spacing w:before="220"/>
        <w:ind w:firstLine="540"/>
        <w:jc w:val="both"/>
      </w:pPr>
      <w:r>
        <w:t>10. В случае если план расходов, представленный в комитет, не соответствует сумме гранта, такой план расходов корректируется получателем гранта по сумме и направлениям (в рамках заявленного проекта) в течение 15 календарных дней со дня опубликования в системе "Электронный бюджет" протокола подведения итогов отбора и направляется в комитет для утверждения.</w:t>
      </w:r>
    </w:p>
    <w:p w:rsidR="001D1FC7" w:rsidRDefault="001D1FC7">
      <w:pPr>
        <w:pStyle w:val="ConsPlusNormal"/>
        <w:jc w:val="both"/>
      </w:pPr>
      <w:r>
        <w:t>(</w:t>
      </w:r>
      <w:proofErr w:type="gramStart"/>
      <w:r>
        <w:t>п</w:t>
      </w:r>
      <w:proofErr w:type="gramEnd"/>
      <w:r>
        <w:t xml:space="preserve">. 10 в ред. </w:t>
      </w:r>
      <w:hyperlink r:id="rId34">
        <w:r>
          <w:rPr>
            <w:color w:val="0000FF"/>
          </w:rPr>
          <w:t>Постановления</w:t>
        </w:r>
      </w:hyperlink>
      <w:r>
        <w:t xml:space="preserve"> Правительства Ленинградской области от 27.05.2025 N 470)</w:t>
      </w:r>
    </w:p>
    <w:p w:rsidR="001D1FC7" w:rsidRDefault="001D1FC7">
      <w:pPr>
        <w:pStyle w:val="ConsPlusNormal"/>
        <w:spacing w:before="220"/>
        <w:ind w:firstLine="540"/>
        <w:jc w:val="both"/>
      </w:pPr>
      <w:r>
        <w:t xml:space="preserve">11. В соответствии с </w:t>
      </w:r>
      <w:hyperlink r:id="rId35">
        <w:r>
          <w:rPr>
            <w:color w:val="0000FF"/>
          </w:rPr>
          <w:t>пунктом 4.2</w:t>
        </w:r>
      </w:hyperlink>
      <w:r>
        <w:t xml:space="preserve"> настоящего Порядка в дополнение к отчетности, установленной </w:t>
      </w:r>
      <w:hyperlink r:id="rId36">
        <w:r>
          <w:rPr>
            <w:color w:val="0000FF"/>
          </w:rPr>
          <w:t>пунктом 4.1</w:t>
        </w:r>
      </w:hyperlink>
      <w:r>
        <w:t xml:space="preserve"> настоящего Порядка, получатели гранта не позднее 10-го рабочего дня месяца, следующего за отчетным периодом, в течение срока, установленного соглашением:</w:t>
      </w:r>
    </w:p>
    <w:p w:rsidR="001D1FC7" w:rsidRDefault="001D1FC7">
      <w:pPr>
        <w:pStyle w:val="ConsPlusNormal"/>
        <w:spacing w:before="220"/>
        <w:ind w:firstLine="540"/>
        <w:jc w:val="both"/>
      </w:pPr>
      <w:r>
        <w:t>ежеквартально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1D1FC7" w:rsidRDefault="001D1FC7">
      <w:pPr>
        <w:pStyle w:val="ConsPlusNormal"/>
        <w:spacing w:before="220"/>
        <w:ind w:firstLine="540"/>
        <w:jc w:val="both"/>
      </w:pPr>
      <w:r>
        <w:t>ежегодно представляют в комитет документы, подтверждающие численность постоянных работников, принятых в количестве и сроки, установленные соглашением (трудовой договор, отчет "Персонифицированные сведения о физических лицах" с отметкой органа ФНС России за последний отчетный период (месяц) по форме, утвержденной приказом ФНС России).</w:t>
      </w:r>
    </w:p>
    <w:p w:rsidR="001D1FC7" w:rsidRDefault="001D1FC7">
      <w:pPr>
        <w:pStyle w:val="ConsPlusNormal"/>
        <w:jc w:val="both"/>
      </w:pPr>
      <w:r>
        <w:t xml:space="preserve">(п. 11 в ред. </w:t>
      </w:r>
      <w:hyperlink r:id="rId37">
        <w:r>
          <w:rPr>
            <w:color w:val="0000FF"/>
          </w:rPr>
          <w:t>Постановления</w:t>
        </w:r>
      </w:hyperlink>
      <w:r>
        <w:t xml:space="preserve"> Правительства Ленинградской области от 29.08.2025 N 753)</w:t>
      </w:r>
    </w:p>
    <w:p w:rsidR="001D1FC7" w:rsidRDefault="001D1FC7">
      <w:pPr>
        <w:pStyle w:val="ConsPlusNormal"/>
        <w:spacing w:before="220"/>
        <w:ind w:firstLine="540"/>
        <w:jc w:val="both"/>
      </w:pPr>
      <w:r>
        <w:t>12. Расходование сре</w:t>
      </w:r>
      <w:proofErr w:type="gramStart"/>
      <w:r>
        <w:t>дств гр</w:t>
      </w:r>
      <w:proofErr w:type="gramEnd"/>
      <w:r>
        <w:t>анта осуществляется только в пределах и по направлениям плана расходов получателя гранта.</w:t>
      </w:r>
    </w:p>
    <w:p w:rsidR="001D1FC7" w:rsidRDefault="001D1FC7">
      <w:pPr>
        <w:pStyle w:val="ConsPlusNormal"/>
        <w:spacing w:before="220"/>
        <w:ind w:firstLine="540"/>
        <w:jc w:val="both"/>
      </w:pPr>
      <w:r>
        <w:t>Внесение изменений в план расходов осуществляется путем заключения дополнительного соглашения на основании заявления получателя гранта по решению комитета только по направлениям расходования, указанным в проекте и в соглашении, в случае обращения получателя гранта в комитет при возникновении:</w:t>
      </w:r>
    </w:p>
    <w:p w:rsidR="001D1FC7" w:rsidRDefault="001D1FC7">
      <w:pPr>
        <w:pStyle w:val="ConsPlusNormal"/>
        <w:spacing w:before="220"/>
        <w:ind w:firstLine="540"/>
        <w:jc w:val="both"/>
      </w:pPr>
      <w:r>
        <w:t>обстоятельств непреодолимой силы;</w:t>
      </w:r>
    </w:p>
    <w:p w:rsidR="001D1FC7" w:rsidRDefault="001D1FC7">
      <w:pPr>
        <w:pStyle w:val="ConsPlusNormal"/>
        <w:spacing w:before="220"/>
        <w:ind w:firstLine="540"/>
        <w:jc w:val="both"/>
      </w:pPr>
      <w:r>
        <w:t>в результате образовавшейся экономии сре</w:t>
      </w:r>
      <w:proofErr w:type="gramStart"/>
      <w:r>
        <w:t>дств гр</w:t>
      </w:r>
      <w:proofErr w:type="gramEnd"/>
      <w:r>
        <w:t>анта;</w:t>
      </w:r>
    </w:p>
    <w:p w:rsidR="001D1FC7" w:rsidRDefault="001D1FC7">
      <w:pPr>
        <w:pStyle w:val="ConsPlusNormal"/>
        <w:spacing w:before="220"/>
        <w:ind w:firstLine="540"/>
        <w:jc w:val="both"/>
      </w:pPr>
      <w:r>
        <w:t>в результате роста цен на сельскохозяйственную технику, оборудование, грузовой автомобильный транспорт, сельскохозяйственных животных и птицу, рыбопосадочный материал, семена и посадочный материал;</w:t>
      </w:r>
    </w:p>
    <w:p w:rsidR="001D1FC7" w:rsidRDefault="001D1FC7">
      <w:pPr>
        <w:pStyle w:val="ConsPlusNormal"/>
        <w:spacing w:before="220"/>
        <w:ind w:firstLine="540"/>
        <w:jc w:val="both"/>
      </w:pPr>
      <w:r>
        <w:t>в случае длительного отсутствия (не менее трех месяцев) на рынке товаров, предусмотренных планом расходов, либо снятия таких товаров с производства.</w:t>
      </w:r>
    </w:p>
    <w:p w:rsidR="001D1FC7" w:rsidRDefault="001D1FC7">
      <w:pPr>
        <w:pStyle w:val="ConsPlusNormal"/>
        <w:spacing w:before="220"/>
        <w:ind w:firstLine="540"/>
        <w:jc w:val="both"/>
      </w:pPr>
      <w:r>
        <w:lastRenderedPageBreak/>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r:id="rId38">
        <w:r>
          <w:rPr>
            <w:color w:val="0000FF"/>
          </w:rPr>
          <w:t>пункте 5.2</w:t>
        </w:r>
      </w:hyperlink>
      <w:r>
        <w:t xml:space="preserve"> настоящего Порядка, путем заключения дополнительного соглашения.</w:t>
      </w:r>
    </w:p>
    <w:p w:rsidR="001D1FC7" w:rsidRDefault="001D1FC7">
      <w:pPr>
        <w:pStyle w:val="ConsPlusNormal"/>
        <w:spacing w:before="220"/>
        <w:ind w:firstLine="540"/>
        <w:jc w:val="both"/>
      </w:pPr>
      <w:r>
        <w:t xml:space="preserve">Абзац утратил силу. - </w:t>
      </w:r>
      <w:hyperlink r:id="rId39">
        <w:r>
          <w:rPr>
            <w:color w:val="0000FF"/>
          </w:rPr>
          <w:t>Постановление</w:t>
        </w:r>
      </w:hyperlink>
      <w:r>
        <w:t xml:space="preserve"> Правительства Ленинградской области от 16.03.2026 N 207.</w:t>
      </w:r>
    </w:p>
    <w:p w:rsidR="001D1FC7" w:rsidRDefault="001D1FC7">
      <w:pPr>
        <w:pStyle w:val="ConsPlusNormal"/>
        <w:spacing w:before="220"/>
        <w:ind w:firstLine="540"/>
        <w:jc w:val="both"/>
      </w:pPr>
      <w:r>
        <w:t>Изменение направления деятельности, заявленного в проекте развития хозяйства участника отбора и отобранного комиссией для предоставления грантовой поддержки, не допускается.</w:t>
      </w:r>
    </w:p>
    <w:p w:rsidR="001D1FC7" w:rsidRDefault="001D1FC7">
      <w:pPr>
        <w:pStyle w:val="ConsPlusNormal"/>
        <w:jc w:val="both"/>
      </w:pPr>
      <w:r>
        <w:t xml:space="preserve">(в ред. </w:t>
      </w:r>
      <w:hyperlink r:id="rId40">
        <w:r>
          <w:rPr>
            <w:color w:val="0000FF"/>
          </w:rPr>
          <w:t>Постановления</w:t>
        </w:r>
      </w:hyperlink>
      <w:r>
        <w:t xml:space="preserve"> Правительства Ленинградской области от 27.05.2025 N 470)</w:t>
      </w:r>
    </w:p>
    <w:p w:rsidR="001D1FC7" w:rsidRDefault="001D1FC7">
      <w:pPr>
        <w:pStyle w:val="ConsPlusNormal"/>
        <w:spacing w:before="220"/>
        <w:ind w:firstLine="540"/>
        <w:jc w:val="both"/>
      </w:pPr>
      <w:r>
        <w:t xml:space="preserve">13. </w:t>
      </w:r>
      <w:proofErr w:type="gramStart"/>
      <w:r>
        <w:t xml:space="preserve">В случае призыва получателя гранта на военную службу в Вооруженные Силы Российской Федерации или введения в Ленинградской области среднего уровня реагирования в соответствии с </w:t>
      </w:r>
      <w:hyperlink r:id="rId41">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w:t>
      </w:r>
      <w:proofErr w:type="gramEnd"/>
      <w:r>
        <w:t xml:space="preserve"> службу) комитет принимает одно из следующих решений:</w:t>
      </w:r>
    </w:p>
    <w:p w:rsidR="001D1FC7" w:rsidRDefault="001D1FC7">
      <w:pPr>
        <w:pStyle w:val="ConsPlusNormal"/>
        <w:spacing w:before="220"/>
        <w:ind w:firstLine="540"/>
        <w:jc w:val="both"/>
      </w:pPr>
      <w:bookmarkStart w:id="1" w:name="P100"/>
      <w:bookmarkEnd w:id="1"/>
      <w:proofErr w:type="gramStart"/>
      <w:r>
        <w:t>признание проекта развития хозяйства получателя гранта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w:t>
      </w:r>
      <w:proofErr w:type="gramEnd"/>
      <w:r>
        <w:t xml:space="preserve"> При этом получатель гранта освобождается от ответственности за недостижение плановых показателей деятельности;</w:t>
      </w:r>
    </w:p>
    <w:p w:rsidR="001D1FC7" w:rsidRDefault="001D1FC7">
      <w:pPr>
        <w:pStyle w:val="ConsPlusNormal"/>
        <w:spacing w:before="220"/>
        <w:ind w:firstLine="540"/>
        <w:jc w:val="both"/>
      </w:pPr>
      <w:bookmarkStart w:id="2" w:name="P101"/>
      <w:bookmarkEnd w:id="2"/>
      <w:proofErr w:type="gramStart"/>
      <w:r>
        <w:t>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w:t>
      </w:r>
      <w:proofErr w:type="gramEnd"/>
      <w:r>
        <w:t xml:space="preserve"> При этом проект развития хозяйства получателя гранта признается завершенным, а получатель гранта освобождается от ответственности за недостижение плановых показателей деятельности.</w:t>
      </w:r>
    </w:p>
    <w:p w:rsidR="001D1FC7" w:rsidRDefault="001D1FC7">
      <w:pPr>
        <w:pStyle w:val="ConsPlusNormal"/>
        <w:spacing w:before="220"/>
        <w:ind w:firstLine="540"/>
        <w:jc w:val="both"/>
      </w:pPr>
      <w:proofErr w:type="gramStart"/>
      <w:r>
        <w:t xml:space="preserve">Указанные в </w:t>
      </w:r>
      <w:hyperlink w:anchor="P100">
        <w:r>
          <w:rPr>
            <w:color w:val="0000FF"/>
          </w:rPr>
          <w:t>абзацах втором</w:t>
        </w:r>
      </w:hyperlink>
      <w:r>
        <w:t xml:space="preserve"> и </w:t>
      </w:r>
      <w:hyperlink w:anchor="P101">
        <w:r>
          <w:rPr>
            <w:color w:val="0000FF"/>
          </w:rPr>
          <w:t>третьем</w:t>
        </w:r>
      </w:hyperlink>
      <w: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документа, подтверждающего призыв на военную службу, или по заявлению получателя гранта при введении в Ленинградской области среднего уровня реагирования в соответствии с </w:t>
      </w:r>
      <w:hyperlink r:id="rId42">
        <w:r>
          <w:rPr>
            <w:color w:val="0000FF"/>
          </w:rPr>
          <w:t>Указом</w:t>
        </w:r>
      </w:hyperlink>
      <w:r>
        <w:t xml:space="preserve"> Президента Российской Федерации от 19 октября 2022 года N 757</w:t>
      </w:r>
      <w:proofErr w:type="gramEnd"/>
      <w:r>
        <w:t xml:space="preserve"> "О мерах, осуществляемых в субъектах Российской Федерации в связи с Указом Президента Российской Федерации от 19 октября 2022 г. N 756" в порядке, установленном комитетом.</w:t>
      </w:r>
    </w:p>
    <w:p w:rsidR="001D1FC7" w:rsidRDefault="001D1FC7">
      <w:pPr>
        <w:pStyle w:val="ConsPlusNormal"/>
        <w:jc w:val="both"/>
      </w:pPr>
      <w:r>
        <w:t xml:space="preserve">(п. 13 </w:t>
      </w:r>
      <w:proofErr w:type="gramStart"/>
      <w:r>
        <w:t>введен</w:t>
      </w:r>
      <w:proofErr w:type="gramEnd"/>
      <w:r>
        <w:t xml:space="preserve"> </w:t>
      </w:r>
      <w:hyperlink r:id="rId43">
        <w:r>
          <w:rPr>
            <w:color w:val="0000FF"/>
          </w:rPr>
          <w:t>Постановлением</w:t>
        </w:r>
      </w:hyperlink>
      <w:r>
        <w:t xml:space="preserve"> Правительства Ленинградской области от 16.03.2026 N 207)</w:t>
      </w:r>
    </w:p>
    <w:p w:rsidR="001D1FC7" w:rsidRDefault="001D1FC7">
      <w:pPr>
        <w:pStyle w:val="ConsPlusNormal"/>
        <w:spacing w:before="220"/>
        <w:ind w:firstLine="540"/>
        <w:jc w:val="both"/>
      </w:pPr>
      <w:r>
        <w:t xml:space="preserve">14. </w:t>
      </w:r>
      <w:proofErr w:type="gramStart"/>
      <w:r>
        <w:t xml:space="preserve">В процессе реализации проекта развития хозяйства получателя гранта допускается смена главы крестьянского (фермерского) хозяйства, являющегося получателем гранта, по решению членов данного крестьянского (фермерского) хозяйства в соответствии с </w:t>
      </w:r>
      <w:hyperlink r:id="rId44">
        <w:r>
          <w:rPr>
            <w:color w:val="0000FF"/>
          </w:rPr>
          <w:t>пунктом 1 статьи 18</w:t>
        </w:r>
      </w:hyperlink>
      <w:r>
        <w:t xml:space="preserve"> 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w:t>
      </w:r>
      <w:proofErr w:type="gramEnd"/>
      <w:r>
        <w:t xml:space="preserve"> При этом комитет осуществляет замену главы такого крестьянского (фермерского) хозяйства в соглашении о предоставлении гранта, заключенном между получателем гранта и комитетом, а новый глава крестьянского (</w:t>
      </w:r>
      <w:proofErr w:type="gramStart"/>
      <w:r>
        <w:t xml:space="preserve">фермерского) </w:t>
      </w:r>
      <w:proofErr w:type="gramEnd"/>
      <w:r>
        <w:t>хозяйства осуществляет дальнейшую реализацию проекта развития хозяйства в соответствии с указанным соглашением.</w:t>
      </w:r>
    </w:p>
    <w:p w:rsidR="001D1FC7" w:rsidRDefault="001D1FC7">
      <w:pPr>
        <w:pStyle w:val="ConsPlusNormal"/>
        <w:jc w:val="both"/>
      </w:pPr>
      <w:r>
        <w:lastRenderedPageBreak/>
        <w:t xml:space="preserve">(п. 14 </w:t>
      </w:r>
      <w:proofErr w:type="gramStart"/>
      <w:r>
        <w:t>введен</w:t>
      </w:r>
      <w:proofErr w:type="gramEnd"/>
      <w:r>
        <w:t xml:space="preserve"> </w:t>
      </w:r>
      <w:hyperlink r:id="rId45">
        <w:r>
          <w:rPr>
            <w:color w:val="0000FF"/>
          </w:rPr>
          <w:t>Постановлением</w:t>
        </w:r>
      </w:hyperlink>
      <w:r>
        <w:t xml:space="preserve"> Правительства Ленинградской области от 16.03.2026 N 207)</w:t>
      </w:r>
    </w:p>
    <w:p w:rsidR="001D1FC7" w:rsidRDefault="001D1FC7">
      <w:pPr>
        <w:pStyle w:val="ConsPlusNormal"/>
        <w:ind w:firstLine="540"/>
        <w:jc w:val="both"/>
      </w:pPr>
    </w:p>
    <w:p w:rsidR="001D1FC7" w:rsidRDefault="001D1FC7">
      <w:pPr>
        <w:pStyle w:val="ConsPlusNormal"/>
      </w:pPr>
      <w:hyperlink r:id="rId46">
        <w:r>
          <w:rPr>
            <w:i/>
            <w:color w:val="0000FF"/>
          </w:rPr>
          <w:br/>
          <w:t>Постановление Правительства Ленинградской области от 04.02.2014 N 15 (ред. от 16.03.2026) "Об утверждении Порядка предоставления субсидий из областного бюджета Ленинградской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 {КонсультантПлюс}</w:t>
        </w:r>
      </w:hyperlink>
      <w:r>
        <w:br/>
      </w:r>
    </w:p>
    <w:p w:rsidR="001B1E71" w:rsidRDefault="001B1E71">
      <w:bookmarkStart w:id="3" w:name="_GoBack"/>
      <w:bookmarkEnd w:id="3"/>
    </w:p>
    <w:sectPr w:rsidR="001B1E71" w:rsidSect="003731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FC7"/>
    <w:rsid w:val="001B1E71"/>
    <w:rsid w:val="001D1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F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FC7"/>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F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FC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08951&amp;dst=100717" TargetMode="External"/><Relationship Id="rId18" Type="http://schemas.openxmlformats.org/officeDocument/2006/relationships/hyperlink" Target="https://login.consultant.ru/link/?req=doc&amp;base=SPB&amp;n=326479&amp;dst=100108" TargetMode="External"/><Relationship Id="rId26" Type="http://schemas.openxmlformats.org/officeDocument/2006/relationships/hyperlink" Target="https://login.consultant.ru/link/?req=doc&amp;base=SPB&amp;n=326479&amp;dst=100139" TargetMode="External"/><Relationship Id="rId39" Type="http://schemas.openxmlformats.org/officeDocument/2006/relationships/hyperlink" Target="https://login.consultant.ru/link/?req=doc&amp;base=SPB&amp;n=326479&amp;dst=100144" TargetMode="External"/><Relationship Id="rId21" Type="http://schemas.openxmlformats.org/officeDocument/2006/relationships/hyperlink" Target="https://login.consultant.ru/link/?req=doc&amp;base=SPB&amp;n=326981&amp;dst=115897" TargetMode="External"/><Relationship Id="rId34" Type="http://schemas.openxmlformats.org/officeDocument/2006/relationships/hyperlink" Target="https://login.consultant.ru/link/?req=doc&amp;base=SPB&amp;n=311878&amp;dst=100181" TargetMode="External"/><Relationship Id="rId42" Type="http://schemas.openxmlformats.org/officeDocument/2006/relationships/hyperlink" Target="https://login.consultant.ru/link/?req=doc&amp;base=LAW&amp;n=455520" TargetMode="External"/><Relationship Id="rId47" Type="http://schemas.openxmlformats.org/officeDocument/2006/relationships/fontTable" Target="fontTable.xml"/><Relationship Id="rId7" Type="http://schemas.openxmlformats.org/officeDocument/2006/relationships/hyperlink" Target="https://login.consultant.ru/link/?req=doc&amp;base=SPB&amp;n=313885&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SPB&amp;n=326479&amp;dst=100105" TargetMode="External"/><Relationship Id="rId29" Type="http://schemas.openxmlformats.org/officeDocument/2006/relationships/hyperlink" Target="https://login.consultant.ru/link/?req=doc&amp;base=SPB&amp;n=326479&amp;dst=100143" TargetMode="External"/><Relationship Id="rId1" Type="http://schemas.openxmlformats.org/officeDocument/2006/relationships/styles" Target="styles.xml"/><Relationship Id="rId6" Type="http://schemas.openxmlformats.org/officeDocument/2006/relationships/hyperlink" Target="https://login.consultant.ru/link/?req=doc&amp;base=SPB&amp;n=311878&amp;dst=100167" TargetMode="External"/><Relationship Id="rId11" Type="http://schemas.openxmlformats.org/officeDocument/2006/relationships/hyperlink" Target="https://login.consultant.ru/link/?req=doc&amp;base=SPB&amp;n=321994" TargetMode="External"/><Relationship Id="rId24" Type="http://schemas.openxmlformats.org/officeDocument/2006/relationships/hyperlink" Target="https://login.consultant.ru/link/?req=doc&amp;base=LAW&amp;n=519026" TargetMode="External"/><Relationship Id="rId32" Type="http://schemas.openxmlformats.org/officeDocument/2006/relationships/hyperlink" Target="https://login.consultant.ru/link/?req=doc&amp;base=SPB&amp;n=311878&amp;dst=100179" TargetMode="External"/><Relationship Id="rId37" Type="http://schemas.openxmlformats.org/officeDocument/2006/relationships/hyperlink" Target="https://login.consultant.ru/link/?req=doc&amp;base=SPB&amp;n=316438&amp;dst=100097" TargetMode="External"/><Relationship Id="rId40" Type="http://schemas.openxmlformats.org/officeDocument/2006/relationships/hyperlink" Target="https://login.consultant.ru/link/?req=doc&amp;base=SPB&amp;n=311878&amp;dst=100183" TargetMode="External"/><Relationship Id="rId45" Type="http://schemas.openxmlformats.org/officeDocument/2006/relationships/hyperlink" Target="https://login.consultant.ru/link/?req=doc&amp;base=SPB&amp;n=326479&amp;dst=100150" TargetMode="External"/><Relationship Id="rId5" Type="http://schemas.openxmlformats.org/officeDocument/2006/relationships/hyperlink" Target="https://login.consultant.ru/link/?req=doc&amp;base=SPB&amp;n=308951&amp;dst=100714" TargetMode="External"/><Relationship Id="rId15" Type="http://schemas.openxmlformats.org/officeDocument/2006/relationships/hyperlink" Target="https://login.consultant.ru/link/?req=doc&amp;base=SPB&amp;n=311878&amp;dst=100168" TargetMode="External"/><Relationship Id="rId23" Type="http://schemas.openxmlformats.org/officeDocument/2006/relationships/hyperlink" Target="https://login.consultant.ru/link/?req=doc&amp;base=SPB&amp;n=326981&amp;dst=116023" TargetMode="External"/><Relationship Id="rId28" Type="http://schemas.openxmlformats.org/officeDocument/2006/relationships/hyperlink" Target="https://login.consultant.ru/link/?req=doc&amp;base=SPB&amp;n=311878&amp;dst=100175" TargetMode="External"/><Relationship Id="rId36" Type="http://schemas.openxmlformats.org/officeDocument/2006/relationships/hyperlink" Target="https://login.consultant.ru/link/?req=doc&amp;base=SPB&amp;n=326981&amp;dst=117380" TargetMode="External"/><Relationship Id="rId10" Type="http://schemas.openxmlformats.org/officeDocument/2006/relationships/hyperlink" Target="https://login.consultant.ru/link/?req=doc&amp;base=SPB&amp;n=326981&amp;dst=109453" TargetMode="External"/><Relationship Id="rId19" Type="http://schemas.openxmlformats.org/officeDocument/2006/relationships/hyperlink" Target="https://login.consultant.ru/link/?req=doc&amp;base=SPB&amp;n=326479&amp;dst=100112" TargetMode="External"/><Relationship Id="rId31" Type="http://schemas.openxmlformats.org/officeDocument/2006/relationships/hyperlink" Target="https://login.consultant.ru/link/?req=doc&amp;base=SPB&amp;n=311878&amp;dst=100178" TargetMode="External"/><Relationship Id="rId44" Type="http://schemas.openxmlformats.org/officeDocument/2006/relationships/hyperlink" Target="https://login.consultant.ru/link/?req=doc&amp;base=LAW&amp;n=511356&amp;dst=74"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26479&amp;dst=100104" TargetMode="External"/><Relationship Id="rId14" Type="http://schemas.openxmlformats.org/officeDocument/2006/relationships/hyperlink" Target="https://login.consultant.ru/link/?req=doc&amp;base=SPB&amp;n=308951&amp;dst=100718" TargetMode="External"/><Relationship Id="rId22" Type="http://schemas.openxmlformats.org/officeDocument/2006/relationships/hyperlink" Target="https://login.consultant.ru/link/?req=doc&amp;base=SPB&amp;n=326479&amp;dst=100115" TargetMode="External"/><Relationship Id="rId27" Type="http://schemas.openxmlformats.org/officeDocument/2006/relationships/hyperlink" Target="https://login.consultant.ru/link/?req=doc&amp;base=SPB&amp;n=326479&amp;dst=100141" TargetMode="External"/><Relationship Id="rId30" Type="http://schemas.openxmlformats.org/officeDocument/2006/relationships/hyperlink" Target="https://login.consultant.ru/link/?req=doc&amp;base=SPB&amp;n=311878&amp;dst=100177" TargetMode="External"/><Relationship Id="rId35" Type="http://schemas.openxmlformats.org/officeDocument/2006/relationships/hyperlink" Target="https://login.consultant.ru/link/?req=doc&amp;base=SPB&amp;n=326981&amp;dst=116053" TargetMode="External"/><Relationship Id="rId43" Type="http://schemas.openxmlformats.org/officeDocument/2006/relationships/hyperlink" Target="https://login.consultant.ru/link/?req=doc&amp;base=SPB&amp;n=326479&amp;dst=100145" TargetMode="External"/><Relationship Id="rId48" Type="http://schemas.openxmlformats.org/officeDocument/2006/relationships/theme" Target="theme/theme1.xml"/><Relationship Id="rId8" Type="http://schemas.openxmlformats.org/officeDocument/2006/relationships/hyperlink" Target="https://login.consultant.ru/link/?req=doc&amp;base=SPB&amp;n=316438&amp;dst=100095" TargetMode="External"/><Relationship Id="rId3" Type="http://schemas.openxmlformats.org/officeDocument/2006/relationships/settings" Target="settings.xml"/><Relationship Id="rId12" Type="http://schemas.openxmlformats.org/officeDocument/2006/relationships/hyperlink" Target="https://login.consultant.ru/link/?req=doc&amp;base=SPB&amp;n=308951&amp;dst=100716" TargetMode="External"/><Relationship Id="rId17" Type="http://schemas.openxmlformats.org/officeDocument/2006/relationships/hyperlink" Target="https://login.consultant.ru/link/?req=doc&amp;base=SPB&amp;n=326479&amp;dst=100106" TargetMode="External"/><Relationship Id="rId25" Type="http://schemas.openxmlformats.org/officeDocument/2006/relationships/hyperlink" Target="https://login.consultant.ru/link/?req=doc&amp;base=SPB&amp;n=326479&amp;dst=100131" TargetMode="External"/><Relationship Id="rId33" Type="http://schemas.openxmlformats.org/officeDocument/2006/relationships/hyperlink" Target="https://login.consultant.ru/link/?req=doc&amp;base=SPB&amp;n=311878&amp;dst=100180" TargetMode="External"/><Relationship Id="rId38" Type="http://schemas.openxmlformats.org/officeDocument/2006/relationships/hyperlink" Target="https://login.consultant.ru/link/?req=doc&amp;base=SPB&amp;n=326981&amp;dst=115907" TargetMode="External"/><Relationship Id="rId46" Type="http://schemas.openxmlformats.org/officeDocument/2006/relationships/hyperlink" Target="https://login.consultant.ru/link/?req=doc&amp;base=SPB&amp;n=326981&amp;dst=116921" TargetMode="External"/><Relationship Id="rId20" Type="http://schemas.openxmlformats.org/officeDocument/2006/relationships/hyperlink" Target="https://login.consultant.ru/link/?req=doc&amp;base=SPB&amp;n=326479&amp;dst=100114" TargetMode="External"/><Relationship Id="rId41" Type="http://schemas.openxmlformats.org/officeDocument/2006/relationships/hyperlink" Target="https://login.consultant.ru/link/?req=doc&amp;base=LAW&amp;n=455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3398</Words>
  <Characters>19372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Лях Ирина Олеговна</dc:creator>
  <cp:lastModifiedBy>Лях Ирина Олеговна</cp:lastModifiedBy>
  <cp:revision>1</cp:revision>
  <dcterms:created xsi:type="dcterms:W3CDTF">2026-05-08T09:27:00Z</dcterms:created>
  <dcterms:modified xsi:type="dcterms:W3CDTF">2026-05-08T09:27:00Z</dcterms:modified>
</cp:coreProperties>
</file>